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sz w:val="24"/>
          <w:szCs w:val="24"/>
        </w:rPr>
        <w:t xml:space="preserve">VME VAN DER SWEEPSTRAAT 3-5, 2000 ANTWERPEN</w:t>
      </w:r>
    </w:p>
    <w:p>
      <w:pPr>
        <w:spacing w:after="60"/>
        <w:jc w:val="center"/>
      </w:pPr>
      <w:r>
        <w:rPr>
          <w:rFonts w:ascii="Arial" w:cs="Arial" w:eastAsia="Arial" w:hAnsi="Arial"/>
          <w:b/>
          <w:bCs/>
          <w:sz w:val="22"/>
          <w:szCs w:val="22"/>
        </w:rPr>
        <w:t xml:space="preserve">RESIDENTIE DE GERLACHE</w:t>
      </w:r>
    </w:p>
    <w:p>
      <w:pPr>
        <w:spacing w:after="300"/>
        <w:jc w:val="center"/>
      </w:pPr>
      <w:r>
        <w:rPr>
          <w:rFonts w:ascii="Arial" w:cs="Arial" w:eastAsia="Arial" w:hAnsi="Arial"/>
          <w:color w:val="666666"/>
          <w:sz w:val="20"/>
          <w:szCs w:val="20"/>
        </w:rPr>
        <w:t xml:space="preserve">KBO: 0850.402.562</w:t>
      </w:r>
    </w:p>
    <w:p>
      <w:pPr>
        <w:spacing w:after="60"/>
        <w:jc w:val="center"/>
      </w:pPr>
      <w:r>
        <w:rPr>
          <w:rFonts w:ascii="Arial" w:cs="Arial" w:eastAsia="Arial" w:hAnsi="Arial"/>
          <w:b/>
          <w:bCs/>
          <w:sz w:val="28"/>
          <w:szCs w:val="28"/>
        </w:rPr>
        <w:t xml:space="preserve">ADDENDUM BIJ HET REGLEMENT VAN INWENDIGE ORDE</w:t>
      </w:r>
    </w:p>
    <w:p>
      <w:pPr>
        <w:spacing w:after="120"/>
        <w:jc w:val="center"/>
      </w:pPr>
      <w:r>
        <w:rPr>
          <w:rFonts w:ascii="Arial" w:cs="Arial" w:eastAsia="Arial" w:hAnsi="Arial"/>
          <w:b/>
          <w:bCs/>
          <w:sz w:val="24"/>
          <w:szCs w:val="24"/>
        </w:rPr>
        <w:t xml:space="preserve">Deel 7: Gebruik van de fietsenstalling</w:t>
      </w:r>
    </w:p>
    <w:p>
      <w:pPr>
        <w:spacing w:after="60"/>
        <w:jc w:val="center"/>
      </w:pPr>
      <w:r>
        <w:rPr>
          <w:rFonts w:ascii="Arial" w:cs="Arial" w:eastAsia="Arial" w:hAnsi="Arial"/>
          <w:i/>
          <w:iCs/>
          <w:color w:val="666666"/>
          <w:sz w:val="20"/>
          <w:szCs w:val="20"/>
        </w:rPr>
        <w:t xml:space="preserve">Ter goedkeuring op de Algemene Vergadering van </w:t>
      </w:r>
      <w:r>
        <w:rPr>
          <w:rFonts w:ascii="Arial" w:cs="Arial" w:eastAsia="Arial" w:hAnsi="Arial"/>
          <w:i/>
          <w:iCs/>
          <w:color w:val="666666"/>
          <w:sz w:val="20"/>
          <w:szCs w:val="20"/>
          <w:highlight w:val="yellow"/>
          <w:highlightCs w:val="yellow"/>
        </w:rPr>
        <w:t xml:space="preserve">[datum in te vullen]</w:t>
      </w:r>
    </w:p>
    <w:p>
      <w:pPr>
        <w:spacing w:after="400"/>
        <w:jc w:val="center"/>
      </w:pPr>
      <w:r>
        <w:rPr>
          <w:rFonts w:ascii="Arial" w:cs="Arial" w:eastAsia="Arial" w:hAnsi="Arial"/>
          <w:i/>
          <w:iCs/>
          <w:color w:val="666666"/>
          <w:sz w:val="20"/>
          <w:szCs w:val="20"/>
        </w:rPr>
        <w:t xml:space="preserve">Vereiste meerderheid: twee derden van de stemmen (art. 577-7, §1, 1° b BW)</w:t>
      </w:r>
    </w:p>
    <w:p>
      <w:pPr>
        <w:pBdr>
          <w:bottom w:val="single" w:color="333333" w:sz="6" w:space="1"/>
        </w:pBdr>
        <w:spacing w:after="300"/>
      </w:pPr>
    </w:p>
    <w:p>
      <w:pPr>
        <w:pStyle w:val="Heading2"/>
        <w:spacing w:after="200" w:before="360"/>
      </w:pPr>
      <w:r>
        <w:rPr>
          <w:rFonts w:ascii="Arial" w:cs="Arial" w:eastAsia="Arial" w:hAnsi="Arial"/>
          <w:b/>
          <w:bCs/>
          <w:sz w:val="24"/>
          <w:szCs w:val="24"/>
        </w:rPr>
        <w:t xml:space="preserve">Artikel 16: Toepassingsgebied</w:t>
      </w:r>
    </w:p>
    <w:p>
      <w:pPr>
        <w:spacing w:after="180"/>
      </w:pPr>
      <w:r>
        <w:rPr>
          <w:rFonts w:ascii="Arial" w:cs="Arial" w:eastAsia="Arial" w:hAnsi="Arial"/>
          <w:sz w:val="22"/>
          <w:szCs w:val="22"/>
        </w:rPr>
        <w:t xml:space="preserve">De fietsenstallingen van het gebouw, gelegen in de gemeenschappelijke kelderruimtes bij inkom 3 en inkom 5, zijn gemeenschappelijke delen bestemd voor het stallen van fietsen en elektrische fietsen door bewoners van het gebouw. Het gebruik ervan is onderworpen aan de bepalingen van dit deel.</w:t>
      </w:r>
    </w:p>
    <w:p>
      <w:pPr>
        <w:spacing w:after="180"/>
      </w:pPr>
      <w:r>
        <w:rPr>
          <w:rFonts w:ascii="Arial" w:cs="Arial" w:eastAsia="Arial" w:hAnsi="Arial"/>
          <w:sz w:val="22"/>
          <w:szCs w:val="22"/>
        </w:rPr>
        <w:t xml:space="preserve">Onder “bewoner” wordt in dit deel verstaan: iedere mede-eigenaar die het gebouw bewoont, iedere huurder van een privatief deel, alsook iedere mede-eigenaar die niet in het gebouw woont maar een fietsplaats wenst te gebruiken.</w:t>
      </w:r>
    </w:p>
    <w:p>
      <w:pPr>
        <w:pStyle w:val="Heading2"/>
        <w:spacing w:after="200" w:before="360"/>
      </w:pPr>
      <w:r>
        <w:rPr>
          <w:rFonts w:ascii="Arial" w:cs="Arial" w:eastAsia="Arial" w:hAnsi="Arial"/>
          <w:b/>
          <w:bCs/>
          <w:sz w:val="24"/>
          <w:szCs w:val="24"/>
        </w:rPr>
        <w:t xml:space="preserve">Artikel 17: Indeling en nummering</w:t>
      </w:r>
    </w:p>
    <w:p>
      <w:pPr>
        <w:spacing w:after="180"/>
      </w:pPr>
      <w:r>
        <w:rPr>
          <w:rFonts w:ascii="Arial" w:cs="Arial" w:eastAsia="Arial" w:hAnsi="Arial"/>
          <w:sz w:val="22"/>
          <w:szCs w:val="22"/>
        </w:rPr>
        <w:t xml:space="preserve">De fietsenstalling wordt ingedeeld in genummerde plaatsen, aangeduid door vloermarkering en een nummerbordje. Elke plaats draagt een uniek identificatienummer volgens het formaat vastgesteld door de syndicus.</w:t>
      </w:r>
    </w:p>
    <w:p>
      <w:pPr>
        <w:spacing w:after="180"/>
      </w:pPr>
      <w:r>
        <w:rPr>
          <w:rFonts w:ascii="Arial" w:cs="Arial" w:eastAsia="Arial" w:hAnsi="Arial"/>
          <w:sz w:val="22"/>
          <w:szCs w:val="22"/>
        </w:rPr>
        <w:t xml:space="preserve">Er worden twee categorieën plaatsen onderscheiden:</w:t>
      </w:r>
    </w:p>
    <w:p>
      <w:pPr>
        <w:pStyle w:val="ListParagraph"/>
        <w:numPr>
          <w:ilvl w:val="0"/>
          <w:numId w:val="2"/>
        </w:numPr>
        <w:spacing w:after="120"/>
      </w:pPr>
      <w:r>
        <w:rPr>
          <w:rFonts w:ascii="Arial" w:cs="Arial" w:eastAsia="Arial" w:hAnsi="Arial"/>
          <w:sz w:val="22"/>
          <w:szCs w:val="22"/>
        </w:rPr>
        <w:t xml:space="preserve">Standaardplaatsen, bestemd voor gewone fietsen, met een breedte van ongeveer 60 centimeter.</w:t>
      </w:r>
    </w:p>
    <w:p>
      <w:pPr>
        <w:pStyle w:val="ListParagraph"/>
        <w:numPr>
          <w:ilvl w:val="0"/>
          <w:numId w:val="2"/>
        </w:numPr>
        <w:spacing w:after="120"/>
      </w:pPr>
      <w:r>
        <w:rPr>
          <w:rFonts w:ascii="Arial" w:cs="Arial" w:eastAsia="Arial" w:hAnsi="Arial"/>
          <w:sz w:val="22"/>
          <w:szCs w:val="22"/>
        </w:rPr>
        <w:t xml:space="preserve">E-bike/brede plaatsen, bestemd voor elektrische fietsen of fietsen met buitengewone afmetingen, met een breedte van ongeveer 90 centimeter. Deze plaatsen kunnen voorzien zijn van een nabijgelegen stopcontact voor het opladen.</w:t>
      </w:r>
    </w:p>
    <w:p>
      <w:pPr>
        <w:spacing w:after="180"/>
      </w:pPr>
      <w:r>
        <w:rPr>
          <w:rFonts w:ascii="Arial" w:cs="Arial" w:eastAsia="Arial" w:hAnsi="Arial"/>
          <w:sz w:val="22"/>
          <w:szCs w:val="22"/>
        </w:rPr>
        <w:t xml:space="preserve">Het aantal plaatsen per categorie wordt bepaald op basis van de beschikbare oppervlakte, met inachtneming van een vrije doorgang van minimaal 1,20 meter langs alle toegangspaden tot de garages en nooduitgangen.</w:t>
      </w:r>
    </w:p>
    <w:p>
      <w:pPr>
        <w:pStyle w:val="Heading2"/>
        <w:spacing w:after="200" w:before="360"/>
      </w:pPr>
      <w:r>
        <w:rPr>
          <w:rFonts w:ascii="Arial" w:cs="Arial" w:eastAsia="Arial" w:hAnsi="Arial"/>
          <w:b/>
          <w:bCs/>
          <w:sz w:val="24"/>
          <w:szCs w:val="24"/>
        </w:rPr>
        <w:t xml:space="preserve">Artikel 18: Gebruiksovereenkomst en toewijzing</w:t>
      </w:r>
    </w:p>
    <w:p>
      <w:pPr>
        <w:spacing w:after="180"/>
      </w:pPr>
      <w:r>
        <w:rPr>
          <w:rFonts w:ascii="Arial" w:cs="Arial" w:eastAsia="Arial" w:hAnsi="Arial"/>
          <w:sz w:val="22"/>
          <w:szCs w:val="22"/>
        </w:rPr>
        <w:t xml:space="preserve">Het gebruik van een fietsplaats is onderworpen aan het afsluiten van een schriftelijke gebruiksovereenkomst tussen de VME, vertegenwoordigd door de syndicus, en de bewoner.</w:t>
      </w:r>
    </w:p>
    <w:p>
      <w:pPr>
        <w:spacing w:after="180"/>
      </w:pPr>
      <w:r>
        <w:rPr>
          <w:rFonts w:ascii="Arial" w:cs="Arial" w:eastAsia="Arial" w:hAnsi="Arial"/>
          <w:sz w:val="22"/>
          <w:szCs w:val="22"/>
        </w:rPr>
        <w:t xml:space="preserve">De gebruiksovereenkomst wordt afgesloten voor een duur van twaalf maanden, ingaand op 1 juli en eindigend op 30 juni van het daaropvolgende jaar. Zij wordt stilzwijgend verlengd voor opeenvolgende periodes van twaalf maanden, tenzij opgezegd per e-mail of aangetekend schrijven uiterlijk twee maanden vóór het einde van de lopende periode.</w:t>
      </w:r>
    </w:p>
    <w:p>
      <w:pPr>
        <w:spacing w:after="180"/>
      </w:pPr>
      <w:r>
        <w:rPr>
          <w:rFonts w:ascii="Arial" w:cs="Arial" w:eastAsia="Arial" w:hAnsi="Arial"/>
          <w:sz w:val="22"/>
          <w:szCs w:val="22"/>
        </w:rPr>
        <w:t xml:space="preserve">Elke bewoner kan maximaal twee fietsplaatsen aanvragen per kavel. Bijkomende plaatsen kunnen worden toegewezen indien de beschikbare capaciteit dit toelaat, zonder voorrang.</w:t>
      </w:r>
    </w:p>
    <w:p>
      <w:pPr>
        <w:spacing w:after="180"/>
      </w:pPr>
      <w:r>
        <w:rPr>
          <w:rFonts w:ascii="Arial" w:cs="Arial" w:eastAsia="Arial" w:hAnsi="Arial"/>
          <w:sz w:val="22"/>
          <w:szCs w:val="22"/>
        </w:rPr>
        <w:t xml:space="preserve">Bij de toewijzing wordt de volgende prioriteitsvolgorde gehanteerd:</w:t>
      </w:r>
    </w:p>
    <w:p>
      <w:pPr>
        <w:pStyle w:val="ListParagraph"/>
        <w:numPr>
          <w:ilvl w:val="0"/>
          <w:numId w:val="3"/>
        </w:numPr>
        <w:spacing w:after="120"/>
      </w:pPr>
      <w:r>
        <w:rPr>
          <w:rFonts w:ascii="Arial" w:cs="Arial" w:eastAsia="Arial" w:hAnsi="Arial"/>
          <w:sz w:val="22"/>
          <w:szCs w:val="22"/>
        </w:rPr>
        <w:t xml:space="preserve">Bewoners die op het ogenblik van de eerste toewijzingsronde reeds actief een fiets in de stalling hebben staan.</w:t>
      </w:r>
    </w:p>
    <w:p>
      <w:pPr>
        <w:pStyle w:val="ListParagraph"/>
        <w:numPr>
          <w:ilvl w:val="0"/>
          <w:numId w:val="3"/>
        </w:numPr>
        <w:spacing w:after="120"/>
      </w:pPr>
      <w:r>
        <w:rPr>
          <w:rFonts w:ascii="Arial" w:cs="Arial" w:eastAsia="Arial" w:hAnsi="Arial"/>
          <w:sz w:val="22"/>
          <w:szCs w:val="22"/>
        </w:rPr>
        <w:t xml:space="preserve">Mede-eigenaars die het gebouw bewonen.</w:t>
      </w:r>
    </w:p>
    <w:p>
      <w:pPr>
        <w:pStyle w:val="ListParagraph"/>
        <w:numPr>
          <w:ilvl w:val="0"/>
          <w:numId w:val="3"/>
        </w:numPr>
        <w:spacing w:after="120"/>
      </w:pPr>
      <w:r>
        <w:rPr>
          <w:rFonts w:ascii="Arial" w:cs="Arial" w:eastAsia="Arial" w:hAnsi="Arial"/>
          <w:sz w:val="22"/>
          <w:szCs w:val="22"/>
        </w:rPr>
        <w:t xml:space="preserve">Huurders van een privatief deel.</w:t>
      </w:r>
    </w:p>
    <w:p>
      <w:pPr>
        <w:pStyle w:val="ListParagraph"/>
        <w:numPr>
          <w:ilvl w:val="0"/>
          <w:numId w:val="3"/>
        </w:numPr>
        <w:spacing w:after="120"/>
      </w:pPr>
      <w:r>
        <w:rPr>
          <w:rFonts w:ascii="Arial" w:cs="Arial" w:eastAsia="Arial" w:hAnsi="Arial"/>
          <w:sz w:val="22"/>
          <w:szCs w:val="22"/>
        </w:rPr>
        <w:t xml:space="preserve">Mede-eigenaars die het gebouw niet bewonen.</w:t>
      </w:r>
    </w:p>
    <w:p>
      <w:pPr>
        <w:spacing w:after="180"/>
      </w:pPr>
      <w:r>
        <w:rPr>
          <w:rFonts w:ascii="Arial" w:cs="Arial" w:eastAsia="Arial" w:hAnsi="Arial"/>
          <w:sz w:val="22"/>
          <w:szCs w:val="22"/>
        </w:rPr>
        <w:t xml:space="preserve">Bij gelijke prioriteit wordt voorrang gegeven aan de bewoner wiens aanvraag het eerst werd geregistreerd.</w:t>
      </w:r>
    </w:p>
    <w:p>
      <w:pPr>
        <w:pStyle w:val="Heading2"/>
        <w:spacing w:after="200" w:before="360"/>
      </w:pPr>
      <w:r>
        <w:rPr>
          <w:rFonts w:ascii="Arial" w:cs="Arial" w:eastAsia="Arial" w:hAnsi="Arial"/>
          <w:b/>
          <w:bCs/>
          <w:sz w:val="24"/>
          <w:szCs w:val="24"/>
        </w:rPr>
        <w:t xml:space="preserve">Artikel 19: Vergoeding</w:t>
      </w:r>
    </w:p>
    <w:p>
      <w:pPr>
        <w:spacing w:after="180"/>
      </w:pPr>
      <w:r>
        <w:rPr>
          <w:rFonts w:ascii="Arial" w:cs="Arial" w:eastAsia="Arial" w:hAnsi="Arial"/>
          <w:sz w:val="22"/>
          <w:szCs w:val="22"/>
        </w:rPr>
        <w:t xml:space="preserve">Voor het gebruik van een fietsplaats is een jaarlijkse vergoeding verschuldigd, waarvan het bedrag wordt vastgesteld door de algemene vergadering. Het tarief kan verschillen naargelang de categorie van de plaats.</w:t>
      </w:r>
    </w:p>
    <w:p>
      <w:pPr>
        <w:spacing w:after="180"/>
      </w:pPr>
      <w:r>
        <w:rPr>
          <w:rFonts w:ascii="Arial" w:cs="Arial" w:eastAsia="Arial" w:hAnsi="Arial"/>
          <w:sz w:val="22"/>
          <w:szCs w:val="22"/>
        </w:rPr>
        <w:t xml:space="preserve">De vergoeding is verschuldigd bij aanvang van de gebruiksperiode en wordt door de syndicus opgenomen in de individuele afrekening van de mede-eigenaar. Bij toewijzing in de loop van het jaar wordt de vergoeding pro rata temporis berekend per begonnen maand.</w:t>
      </w:r>
    </w:p>
    <w:p>
      <w:pPr>
        <w:spacing w:after="180"/>
      </w:pPr>
      <w:r>
        <w:rPr>
          <w:rFonts w:ascii="Arial" w:cs="Arial" w:eastAsia="Arial" w:hAnsi="Arial"/>
          <w:sz w:val="22"/>
          <w:szCs w:val="22"/>
        </w:rPr>
        <w:t xml:space="preserve">De bepalingen van artikel 15 betreffende de invorderingsprocedure zijn van overeenkomstige toepassing op de vergoeding voor de fietsplaats.</w:t>
      </w:r>
    </w:p>
    <w:p>
      <w:pPr>
        <w:pStyle w:val="Heading2"/>
        <w:spacing w:after="200" w:before="360"/>
      </w:pPr>
      <w:r>
        <w:rPr>
          <w:rFonts w:ascii="Arial" w:cs="Arial" w:eastAsia="Arial" w:hAnsi="Arial"/>
          <w:b/>
          <w:bCs/>
          <w:sz w:val="24"/>
          <w:szCs w:val="24"/>
        </w:rPr>
        <w:t xml:space="preserve">Artikel 20: Verplichtingen van de gebruiker</w:t>
      </w:r>
    </w:p>
    <w:p>
      <w:pPr>
        <w:spacing w:after="180"/>
      </w:pPr>
      <w:r>
        <w:rPr>
          <w:rFonts w:ascii="Arial" w:cs="Arial" w:eastAsia="Arial" w:hAnsi="Arial"/>
          <w:sz w:val="22"/>
          <w:szCs w:val="22"/>
        </w:rPr>
        <w:t xml:space="preserve">De gebruiker verbindt zich ertoe:</w:t>
      </w:r>
    </w:p>
    <w:p>
      <w:pPr>
        <w:pStyle w:val="ListParagraph"/>
        <w:numPr>
          <w:ilvl w:val="0"/>
          <w:numId w:val="4"/>
        </w:numPr>
        <w:spacing w:after="120"/>
      </w:pPr>
      <w:r>
        <w:rPr>
          <w:rFonts w:ascii="Arial" w:cs="Arial" w:eastAsia="Arial" w:hAnsi="Arial"/>
          <w:sz w:val="22"/>
          <w:szCs w:val="22"/>
        </w:rPr>
        <w:t xml:space="preserve">Zijn fiets uitsluitend te plaatsen op de hem toegewezen, genummerde plaats.</w:t>
      </w:r>
    </w:p>
    <w:p>
      <w:pPr>
        <w:pStyle w:val="ListParagraph"/>
        <w:numPr>
          <w:ilvl w:val="0"/>
          <w:numId w:val="4"/>
        </w:numPr>
        <w:spacing w:after="120"/>
      </w:pPr>
      <w:r>
        <w:rPr>
          <w:rFonts w:ascii="Arial" w:cs="Arial" w:eastAsia="Arial" w:hAnsi="Arial"/>
          <w:sz w:val="22"/>
          <w:szCs w:val="22"/>
        </w:rPr>
        <w:t xml:space="preserve">De fiets steeds te beveiligen met een eigen slot.</w:t>
      </w:r>
    </w:p>
    <w:p>
      <w:pPr>
        <w:pStyle w:val="ListParagraph"/>
        <w:numPr>
          <w:ilvl w:val="0"/>
          <w:numId w:val="4"/>
        </w:numPr>
        <w:spacing w:after="120"/>
      </w:pPr>
      <w:r>
        <w:rPr>
          <w:rFonts w:ascii="Arial" w:cs="Arial" w:eastAsia="Arial" w:hAnsi="Arial"/>
          <w:sz w:val="22"/>
          <w:szCs w:val="22"/>
        </w:rPr>
        <w:t xml:space="preserve">De vrije doorgang in de stalling niet te belemmeren en in geen geval de toegang tot de garages, kelders of nooduitgangen te hinderen.</w:t>
      </w:r>
    </w:p>
    <w:p>
      <w:pPr>
        <w:pStyle w:val="ListParagraph"/>
        <w:numPr>
          <w:ilvl w:val="0"/>
          <w:numId w:val="4"/>
        </w:numPr>
        <w:spacing w:after="120"/>
      </w:pPr>
      <w:r>
        <w:rPr>
          <w:rFonts w:ascii="Arial" w:cs="Arial" w:eastAsia="Arial" w:hAnsi="Arial"/>
          <w:sz w:val="22"/>
          <w:szCs w:val="22"/>
        </w:rPr>
        <w:t xml:space="preserve">De door de syndicus verstrekte VME-identificatiesticker zichtbaar aan te brengen op de gestalde fiets. De sticker vermeldt het plaatsnummer en het geldigheidsjaar.</w:t>
      </w:r>
    </w:p>
    <w:p>
      <w:pPr>
        <w:pStyle w:val="ListParagraph"/>
        <w:numPr>
          <w:ilvl w:val="0"/>
          <w:numId w:val="4"/>
        </w:numPr>
        <w:spacing w:after="120"/>
      </w:pPr>
      <w:r>
        <w:rPr>
          <w:rFonts w:ascii="Arial" w:cs="Arial" w:eastAsia="Arial" w:hAnsi="Arial"/>
          <w:sz w:val="22"/>
          <w:szCs w:val="22"/>
        </w:rPr>
        <w:t xml:space="preserve">Uitsluitend fietsen of elektrische fietsen te stallen. Het stallen van bromfietsen, motorvoertuigen, steps of andere voertuigen is niet toegestaan.</w:t>
      </w:r>
    </w:p>
    <w:p>
      <w:pPr>
        <w:pStyle w:val="ListParagraph"/>
        <w:numPr>
          <w:ilvl w:val="0"/>
          <w:numId w:val="4"/>
        </w:numPr>
        <w:spacing w:after="120"/>
      </w:pPr>
      <w:r>
        <w:rPr>
          <w:rFonts w:ascii="Arial" w:cs="Arial" w:eastAsia="Arial" w:hAnsi="Arial"/>
          <w:sz w:val="22"/>
          <w:szCs w:val="22"/>
        </w:rPr>
        <w:t xml:space="preserve">Bij het opladen van een elektrische fiets uitsluitend gebruik te maken van een goedgekeurde, CE-gemarkeerde oplader. De gebruiker is aansprakelijk voor elk incident veroorzaakt door zijn laadapparatuur.</w:t>
      </w:r>
    </w:p>
    <w:p>
      <w:pPr>
        <w:pStyle w:val="ListParagraph"/>
        <w:numPr>
          <w:ilvl w:val="0"/>
          <w:numId w:val="4"/>
        </w:numPr>
        <w:spacing w:after="120"/>
      </w:pPr>
      <w:r>
        <w:rPr>
          <w:rFonts w:ascii="Arial" w:cs="Arial" w:eastAsia="Arial" w:hAnsi="Arial"/>
          <w:sz w:val="22"/>
          <w:szCs w:val="22"/>
        </w:rPr>
        <w:t xml:space="preserve">Geen herstellingen, onderhoudswerken of wasactiviteiten uit te voeren in de stallingruimte.</w:t>
      </w:r>
    </w:p>
    <w:p>
      <w:pPr>
        <w:spacing w:after="180"/>
      </w:pPr>
      <w:r>
        <w:rPr>
          <w:rFonts w:ascii="Arial" w:cs="Arial" w:eastAsia="Arial" w:hAnsi="Arial"/>
          <w:sz w:val="22"/>
          <w:szCs w:val="22"/>
        </w:rPr>
        <w:t xml:space="preserve">De VME kan niet aansprakelijk worden gesteld voor diefstal van, schade aan of verlies van de gestalde fiets of de toebehoren ervan.</w:t>
      </w:r>
    </w:p>
    <w:p>
      <w:pPr>
        <w:pStyle w:val="Heading2"/>
        <w:spacing w:after="200" w:before="360"/>
      </w:pPr>
      <w:r>
        <w:rPr>
          <w:rFonts w:ascii="Arial" w:cs="Arial" w:eastAsia="Arial" w:hAnsi="Arial"/>
          <w:b/>
          <w:bCs/>
          <w:sz w:val="24"/>
          <w:szCs w:val="24"/>
        </w:rPr>
        <w:t xml:space="preserve">Artikel 21: Wachtlijst</w:t>
      </w:r>
    </w:p>
    <w:p>
      <w:pPr>
        <w:spacing w:after="180"/>
      </w:pPr>
      <w:r>
        <w:rPr>
          <w:rFonts w:ascii="Arial" w:cs="Arial" w:eastAsia="Arial" w:hAnsi="Arial"/>
          <w:sz w:val="22"/>
          <w:szCs w:val="22"/>
        </w:rPr>
        <w:t xml:space="preserve">Bewoners die bij de toewijzing geen plaats krijgen, worden op een wachtlijst geplaatst, beheerd door de syndicus. De rangschikking op de wachtlijst geschiedt volgens de prioriteitsvolgorde bepaald in artikel 18 en, bij gelijke prioriteit, volgens het tijdstip van de aanvraag.</w:t>
      </w:r>
    </w:p>
    <w:p>
      <w:pPr>
        <w:spacing w:after="180"/>
      </w:pPr>
      <w:r>
        <w:rPr>
          <w:rFonts w:ascii="Arial" w:cs="Arial" w:eastAsia="Arial" w:hAnsi="Arial"/>
          <w:sz w:val="22"/>
          <w:szCs w:val="22"/>
        </w:rPr>
        <w:t xml:space="preserve">Zodra een plaats vrijkomt, wordt de eerstvolgende bewoner op de wachtlijst hiervan per e-mail of via het communicatieplatform van de VME op de hoogte gebracht. Deze beschikt over een termijn van veertien kalenderdagen om het aanbod te aanvaarden. Bij gebrek aan tijdige reactie wordt het aanbod doorgeschoven naar de volgende bewoner op de wachtlijst.</w:t>
      </w:r>
    </w:p>
    <w:p>
      <w:pPr>
        <w:spacing w:after="180"/>
      </w:pPr>
      <w:r>
        <w:rPr>
          <w:rFonts w:ascii="Arial" w:cs="Arial" w:eastAsia="Arial" w:hAnsi="Arial"/>
          <w:sz w:val="22"/>
          <w:szCs w:val="22"/>
        </w:rPr>
        <w:t xml:space="preserve">Bewoners op de wachtlijst worden jaarlijks, in de maand juni, verzocht om te bevestigen dat hun aanvraag nog geldig is. Bij gebreke van bevestiging binnen dertig dagen wordt de aanvraag als vervallen beschouwd en wordt de bewoner van de wachtlijst verwijderd.</w:t>
      </w:r>
    </w:p>
    <w:p>
      <w:pPr>
        <w:pStyle w:val="Heading2"/>
        <w:spacing w:after="200" w:before="360"/>
      </w:pPr>
      <w:r>
        <w:rPr>
          <w:rFonts w:ascii="Arial" w:cs="Arial" w:eastAsia="Arial" w:hAnsi="Arial"/>
          <w:b/>
          <w:bCs/>
          <w:sz w:val="24"/>
          <w:szCs w:val="24"/>
        </w:rPr>
        <w:t xml:space="preserve">Artikel 22: Handhaving en beëindiging</w:t>
      </w:r>
    </w:p>
    <w:p>
      <w:pPr>
        <w:spacing w:after="180"/>
      </w:pPr>
      <w:r>
        <w:rPr>
          <w:rFonts w:ascii="Arial" w:cs="Arial" w:eastAsia="Arial" w:hAnsi="Arial"/>
          <w:sz w:val="22"/>
          <w:szCs w:val="22"/>
        </w:rPr>
        <w:t xml:space="preserve">Fietsen die in de stallingruimte worden aangetroffen zonder geldige VME-identificatiesticker, worden voorzien van een waarschuwingslabel. Indien de eigenaar van de fiets zich niet kenbaar maakt binnen veertien kalenderdagen na het aanbrengen van het waarschuwingslabel, wordt de fiets verplaatst naar een daartoe aangewezen wachtzone. Fietsen die dertig kalenderdagen na verplaatsing naar de wachtzone niet zijn opgehaald, worden door de syndicus gedoneerd of gerecycleerd.</w:t>
      </w:r>
    </w:p>
    <w:p>
      <w:pPr>
        <w:spacing w:after="180"/>
      </w:pPr>
      <w:r>
        <w:rPr>
          <w:rFonts w:ascii="Arial" w:cs="Arial" w:eastAsia="Arial" w:hAnsi="Arial"/>
          <w:sz w:val="22"/>
          <w:szCs w:val="22"/>
        </w:rPr>
        <w:t xml:space="preserve">De VME kan de gebruiksovereenkomst met onmiddellijke ingang beëindigen in de volgende gevallen:</w:t>
      </w:r>
    </w:p>
    <w:p>
      <w:pPr>
        <w:pStyle w:val="ListParagraph"/>
        <w:numPr>
          <w:ilvl w:val="0"/>
          <w:numId w:val="5"/>
        </w:numPr>
        <w:spacing w:after="120"/>
      </w:pPr>
      <w:r>
        <w:rPr>
          <w:rFonts w:ascii="Arial" w:cs="Arial" w:eastAsia="Arial" w:hAnsi="Arial"/>
          <w:sz w:val="22"/>
          <w:szCs w:val="22"/>
        </w:rPr>
        <w:t xml:space="preserve">Herhaaldelijk gebruik van de fietsplaats in strijd met de bepalingen van artikel 20, na ten minste één schriftelijke waarschuwing.</w:t>
      </w:r>
    </w:p>
    <w:p>
      <w:pPr>
        <w:pStyle w:val="ListParagraph"/>
        <w:numPr>
          <w:ilvl w:val="0"/>
          <w:numId w:val="5"/>
        </w:numPr>
        <w:spacing w:after="120"/>
      </w:pPr>
      <w:r>
        <w:rPr>
          <w:rFonts w:ascii="Arial" w:cs="Arial" w:eastAsia="Arial" w:hAnsi="Arial"/>
          <w:sz w:val="22"/>
          <w:szCs w:val="22"/>
        </w:rPr>
        <w:t xml:space="preserve">Niet-betaling van de vergoeding na twee opeenvolgende aanmaningen overeenkomstig de procedure van artikel 15.</w:t>
      </w:r>
    </w:p>
    <w:p>
      <w:pPr>
        <w:pStyle w:val="ListParagraph"/>
        <w:numPr>
          <w:ilvl w:val="0"/>
          <w:numId w:val="5"/>
        </w:numPr>
        <w:spacing w:after="120"/>
      </w:pPr>
      <w:r>
        <w:rPr>
          <w:rFonts w:ascii="Arial" w:cs="Arial" w:eastAsia="Arial" w:hAnsi="Arial"/>
          <w:sz w:val="22"/>
          <w:szCs w:val="22"/>
        </w:rPr>
        <w:t xml:space="preserve">Onderverhuur of overdracht van de fietsplaats aan een derde — het gebruiksrecht is strikt persoonlijk en niet overdraagbaar.</w:t>
      </w:r>
    </w:p>
    <w:p>
      <w:pPr>
        <w:spacing w:after="180"/>
      </w:pPr>
      <w:r>
        <w:rPr>
          <w:rFonts w:ascii="Arial" w:cs="Arial" w:eastAsia="Arial" w:hAnsi="Arial"/>
          <w:sz w:val="22"/>
          <w:szCs w:val="22"/>
        </w:rPr>
        <w:t xml:space="preserve">Bij beëindiging van de gebruiksovereenkomst, om welke reden ook, beschikt de gebruiker over een termijn van dertig kalenderdagen om zijn fiets uit de stalling te verwijderen. Na het verstrijken van deze termijn wordt de procedure van het eerste lid van dit artikel toegepast.</w:t>
      </w:r>
    </w:p>
    <w:p>
      <w:pPr>
        <w:spacing w:after="180"/>
      </w:pPr>
      <w:r>
        <w:rPr>
          <w:rFonts w:ascii="Arial" w:cs="Arial" w:eastAsia="Arial" w:hAnsi="Arial"/>
          <w:sz w:val="22"/>
          <w:szCs w:val="22"/>
        </w:rPr>
        <w:t xml:space="preserve">De gebruiksovereenkomst vervalt van rechtswege bij verkoop van het privatief deel of bij het einde van de huurovereenkomst van de bewoner. De nieuwe eigenaar of huurder kan een eigen aanvraag indienen overeenkomstig artikel 18.</w:t>
      </w:r>
    </w:p>
    <w:p>
      <w:pPr>
        <w:spacing w:after="60"/>
      </w:pPr>
    </w:p>
    <w:p>
      <w:pPr>
        <w:pBdr>
          <w:top w:val="single" w:color="333333" w:sz="6" w:space="1"/>
        </w:pBdr>
        <w:spacing w:after="200" w:before="300"/>
      </w:pPr>
    </w:p>
    <w:p>
      <w:pPr>
        <w:spacing w:after="180"/>
      </w:pPr>
      <w:r>
        <w:rPr>
          <w:rFonts w:ascii="Arial" w:cs="Arial" w:eastAsia="Arial" w:hAnsi="Arial"/>
          <w:sz w:val="22"/>
          <w:szCs w:val="22"/>
        </w:rPr>
        <w:t xml:space="preserve">Goedgekeurd door de Algemene Vergadering van </w:t>
      </w:r>
      <w:r>
        <w:rPr>
          <w:rFonts w:ascii="Arial" w:cs="Arial" w:eastAsia="Arial" w:hAnsi="Arial"/>
          <w:sz w:val="22"/>
          <w:szCs w:val="22"/>
          <w:highlight w:val="yellow"/>
          <w:highlightCs w:val="yellow"/>
        </w:rPr>
        <w:t xml:space="preserve">[datum]</w:t>
      </w:r>
      <w:r>
        <w:rPr>
          <w:rFonts w:ascii="Arial" w:cs="Arial" w:eastAsia="Arial" w:hAnsi="Arial"/>
          <w:sz w:val="22"/>
          <w:szCs w:val="22"/>
        </w:rPr>
        <w:t xml:space="preserve"> met een meerderheid van </w:t>
      </w:r>
      <w:r>
        <w:rPr>
          <w:rFonts w:ascii="Arial" w:cs="Arial" w:eastAsia="Arial" w:hAnsi="Arial"/>
          <w:sz w:val="22"/>
          <w:szCs w:val="22"/>
          <w:highlight w:val="yellow"/>
          <w:highlightCs w:val="yellow"/>
        </w:rPr>
        <w:t xml:space="preserve">[___%]</w:t>
      </w:r>
      <w:r>
        <w:rPr>
          <w:rFonts w:ascii="Arial" w:cs="Arial" w:eastAsia="Arial" w:hAnsi="Arial"/>
          <w:sz w:val="22"/>
          <w:szCs w:val="22"/>
        </w:rPr>
        <w:t xml:space="preserve"> van de stemmen.</w:t>
      </w:r>
    </w:p>
    <w:p>
      <w:pPr>
        <w:spacing w:after="60"/>
      </w:pPr>
    </w:p>
    <w:p>
      <w:pPr>
        <w:spacing w:after="60"/>
      </w:pPr>
    </w:p>
    <w:p>
      <w:pPr>
        <w:spacing w:after="180"/>
      </w:pPr>
      <w:r>
        <w:rPr>
          <w:rFonts w:ascii="Arial" w:cs="Arial" w:eastAsia="Arial" w:hAnsi="Arial"/>
          <w:sz w:val="22"/>
          <w:szCs w:val="22"/>
        </w:rPr>
        <w:t xml:space="preserve">De Voorzitter van de Algemene Vergadering:</w:t>
      </w:r>
    </w:p>
    <w:p>
      <w:pPr>
        <w:spacing w:after="60"/>
      </w:pPr>
    </w:p>
    <w:p>
      <w:pPr>
        <w:spacing w:after="60"/>
      </w:pPr>
    </w:p>
    <w:p>
      <w:pPr>
        <w:spacing w:after="180"/>
      </w:pPr>
      <w:r>
        <w:rPr>
          <w:rFonts w:ascii="Arial" w:cs="Arial" w:eastAsia="Arial" w:hAnsi="Arial"/>
          <w:sz w:val="22"/>
          <w:szCs w:val="22"/>
        </w:rPr>
        <w:t xml:space="preserve">___________________________</w:t>
      </w:r>
    </w:p>
    <w:p>
      <w:pPr>
        <w:spacing w:after="180"/>
      </w:pPr>
      <w:r>
        <w:rPr>
          <w:rFonts w:ascii="Arial" w:cs="Arial" w:eastAsia="Arial" w:hAnsi="Arial"/>
          <w:color w:val="666666"/>
          <w:sz w:val="20"/>
          <w:szCs w:val="20"/>
        </w:rPr>
        <w:t xml:space="preserve">Dhr. Coppens (11G)</w:t>
      </w:r>
    </w:p>
    <w:p>
      <w:pPr>
        <w:spacing w:after="60"/>
      </w:pPr>
    </w:p>
    <w:p>
      <w:pPr>
        <w:spacing w:after="180"/>
      </w:pPr>
      <w:r>
        <w:rPr>
          <w:rFonts w:ascii="Arial" w:cs="Arial" w:eastAsia="Arial" w:hAnsi="Arial"/>
          <w:sz w:val="22"/>
          <w:szCs w:val="22"/>
        </w:rPr>
        <w:t xml:space="preserve">De Syndicus:</w:t>
      </w:r>
    </w:p>
    <w:p>
      <w:pPr>
        <w:spacing w:after="60"/>
      </w:pPr>
    </w:p>
    <w:p>
      <w:pPr>
        <w:spacing w:after="60"/>
      </w:pPr>
    </w:p>
    <w:p>
      <w:pPr>
        <w:spacing w:after="180"/>
      </w:pPr>
      <w:r>
        <w:rPr>
          <w:rFonts w:ascii="Arial" w:cs="Arial" w:eastAsia="Arial" w:hAnsi="Arial"/>
          <w:sz w:val="22"/>
          <w:szCs w:val="22"/>
        </w:rPr>
        <w:t xml:space="preserve">___________________________</w:t>
      </w:r>
    </w:p>
    <w:p>
      <w:pPr>
        <w:spacing w:after="180"/>
      </w:pPr>
      <w:r>
        <w:rPr>
          <w:rFonts w:ascii="Arial" w:cs="Arial" w:eastAsia="Arial" w:hAnsi="Arial"/>
          <w:color w:val="666666"/>
          <w:sz w:val="20"/>
          <w:szCs w:val="20"/>
        </w:rPr>
        <w:t xml:space="preserve">NV Uw Beheer, vertegenwoordigd door Gert De Groof</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Pagina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99999" w:sz="1" w:space="4"/>
      </w:pBdr>
      <w:spacing w:after="0"/>
    </w:pPr>
    <w:r>
      <w:rPr>
        <w:rFonts w:ascii="Arial" w:cs="Arial" w:eastAsia="Arial" w:hAnsi="Arial"/>
        <w:color w:val="666666"/>
        <w:sz w:val="16"/>
        <w:szCs w:val="16"/>
      </w:rPr>
      <w:t xml:space="preserve">VME Van Der Sweepstraat 3-5 – Reglement van Interne Orde – Addendum Fietsenstalling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abstractNum w:abstractNumId="5"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sz w:val="28"/>
      <w:szCs w:val="28"/>
    </w:rPr>
  </w:style>
  <w:style w:type="paragraph" w:styleId="Heading2">
    <w:name w:val="Heading 2"/>
    <w:basedOn w:val="Normal"/>
    <w:next w:val="Normal"/>
    <w:qFormat/>
    <w:pPr>
      <w:spacing w:after="180" w:before="240"/>
      <w:outlineLvl w:val="1"/>
    </w:pPr>
    <w:rPr>
      <w:rFonts w:ascii="Arial" w:cs="Arial" w:eastAsia="Arial" w:hAnsi="Arial"/>
      <w:b/>
      <w:bCs/>
      <w:sz w:val="24"/>
      <w:szCs w:val="24"/>
    </w:rPr>
  </w:style>
  <w:style w:type="paragraph" w:styleId="Heading3">
    <w:name w:val="Heading 3"/>
    <w:basedOn w:val="Normal"/>
    <w:next w:val="Normal"/>
    <w:qFormat/>
    <w:pPr>
      <w:spacing w:after="140" w:before="20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2026-04-28T08:35:38.089Z</dcterms:created>
  <dcterms:modified xsi:type="dcterms:W3CDTF">2026-04-28T08:35:38.089Z</dcterms:modified>
</cp:coreProperties>
</file>

<file path=docProps/custom.xml><?xml version="1.0" encoding="utf-8"?>
<Properties xmlns="http://schemas.openxmlformats.org/officeDocument/2006/custom-properties" xmlns:vt="http://schemas.openxmlformats.org/officeDocument/2006/docPropsVTypes"/>
</file>